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511" w:rsidRPr="001C0E0E" w:rsidRDefault="00D27511" w:rsidP="00D27511">
      <w:pPr>
        <w:spacing w:line="360" w:lineRule="auto"/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محتويات المقرر</w:t>
      </w:r>
    </w:p>
    <w:tbl>
      <w:tblPr>
        <w:bidiVisual/>
        <w:tblW w:w="10490" w:type="dxa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7"/>
        <w:gridCol w:w="1012"/>
        <w:gridCol w:w="4169"/>
        <w:gridCol w:w="1012"/>
      </w:tblGrid>
      <w:tr w:rsidR="00D27511" w:rsidRPr="00725EE0" w:rsidTr="00751BA8">
        <w:tc>
          <w:tcPr>
            <w:tcW w:w="4297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95A53">
              <w:rPr>
                <w:rFonts w:hint="cs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95A53">
              <w:rPr>
                <w:rFonts w:hint="cs"/>
                <w:b/>
                <w:bCs/>
                <w:sz w:val="28"/>
                <w:szCs w:val="28"/>
                <w:rtl/>
              </w:rPr>
              <w:t>الصفحة</w:t>
            </w:r>
          </w:p>
        </w:tc>
        <w:tc>
          <w:tcPr>
            <w:tcW w:w="4169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95A53">
              <w:rPr>
                <w:rFonts w:hint="cs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95A53">
              <w:rPr>
                <w:rFonts w:hint="cs"/>
                <w:b/>
                <w:bCs/>
                <w:sz w:val="28"/>
                <w:szCs w:val="28"/>
                <w:rtl/>
              </w:rPr>
              <w:t>الصفحة</w:t>
            </w:r>
          </w:p>
        </w:tc>
      </w:tr>
      <w:tr w:rsidR="00D27511" w:rsidRPr="00725EE0" w:rsidTr="00751BA8">
        <w:tc>
          <w:tcPr>
            <w:tcW w:w="4297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الفصل الأول (مقدمة في الفن التشكيلي )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169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مهارة وحدة التكوين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46</w:t>
            </w:r>
          </w:p>
        </w:tc>
      </w:tr>
      <w:tr w:rsidR="00D27511" w:rsidRPr="00725EE0" w:rsidTr="00751BA8">
        <w:tc>
          <w:tcPr>
            <w:tcW w:w="4297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مقدمة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169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 xml:space="preserve">مهارة التلوين 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48</w:t>
            </w:r>
          </w:p>
        </w:tc>
      </w:tr>
      <w:tr w:rsidR="00D27511" w:rsidRPr="00725EE0" w:rsidTr="00751BA8">
        <w:tc>
          <w:tcPr>
            <w:tcW w:w="4297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تعريف الفن التشكيلي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169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مهارة مراعاة التناسب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49</w:t>
            </w:r>
          </w:p>
        </w:tc>
      </w:tr>
      <w:tr w:rsidR="00D27511" w:rsidRPr="00725EE0" w:rsidTr="00751BA8">
        <w:tc>
          <w:tcPr>
            <w:tcW w:w="4297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تاريخ الفن التشكيلي في مصر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169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مهارة التبسيط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50</w:t>
            </w:r>
          </w:p>
        </w:tc>
      </w:tr>
      <w:tr w:rsidR="00D27511" w:rsidRPr="00725EE0" w:rsidTr="00751BA8">
        <w:tc>
          <w:tcPr>
            <w:tcW w:w="4297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مدارس الفن التشكيلي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169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الفصل الرابع ( اللون )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61</w:t>
            </w:r>
          </w:p>
        </w:tc>
      </w:tr>
      <w:tr w:rsidR="00D27511" w:rsidRPr="00725EE0" w:rsidTr="00751BA8">
        <w:tc>
          <w:tcPr>
            <w:tcW w:w="4297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الفصل الثاني ( أسس التصميم الفني )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169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 xml:space="preserve">أولا: اللون في الرسوم من حيث الخواص والتقنيات 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63</w:t>
            </w:r>
          </w:p>
        </w:tc>
      </w:tr>
      <w:tr w:rsidR="00D27511" w:rsidRPr="00725EE0" w:rsidTr="00751BA8">
        <w:tc>
          <w:tcPr>
            <w:tcW w:w="4297" w:type="dxa"/>
          </w:tcPr>
          <w:p w:rsidR="00D27511" w:rsidRPr="00595A53" w:rsidRDefault="00D27511" w:rsidP="00751BA8">
            <w:pPr>
              <w:pStyle w:val="ListParagraph"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مقدمة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169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خواص اللون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64</w:t>
            </w:r>
          </w:p>
        </w:tc>
      </w:tr>
      <w:tr w:rsidR="00D27511" w:rsidRPr="00725EE0" w:rsidTr="00751BA8">
        <w:tc>
          <w:tcPr>
            <w:tcW w:w="4297" w:type="dxa"/>
          </w:tcPr>
          <w:p w:rsidR="00D27511" w:rsidRPr="00595A53" w:rsidRDefault="00D27511" w:rsidP="00751BA8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الأسس التشكيلية للتصميم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169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أدوات وتقنيات اللون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65</w:t>
            </w:r>
          </w:p>
        </w:tc>
      </w:tr>
      <w:tr w:rsidR="00D27511" w:rsidRPr="00725EE0" w:rsidTr="00751BA8">
        <w:tc>
          <w:tcPr>
            <w:tcW w:w="4297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النقطة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169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ثانيا: دائرة الألوان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75</w:t>
            </w:r>
          </w:p>
        </w:tc>
      </w:tr>
      <w:tr w:rsidR="00D27511" w:rsidRPr="00725EE0" w:rsidTr="00751BA8">
        <w:tc>
          <w:tcPr>
            <w:tcW w:w="4297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169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تصنيف الألوان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77</w:t>
            </w:r>
          </w:p>
        </w:tc>
      </w:tr>
      <w:tr w:rsidR="00D27511" w:rsidRPr="00725EE0" w:rsidTr="00751BA8">
        <w:tc>
          <w:tcPr>
            <w:tcW w:w="4297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المساحة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169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علاقات الألوان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81</w:t>
            </w:r>
          </w:p>
        </w:tc>
      </w:tr>
      <w:tr w:rsidR="00D27511" w:rsidRPr="00725EE0" w:rsidTr="00751BA8">
        <w:tc>
          <w:tcPr>
            <w:tcW w:w="4297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اللون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169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ثالثا: اللون في الرسوم من حيث الأهمية والدلالات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94</w:t>
            </w:r>
          </w:p>
        </w:tc>
      </w:tr>
      <w:tr w:rsidR="00D27511" w:rsidRPr="00725EE0" w:rsidTr="00751BA8">
        <w:tc>
          <w:tcPr>
            <w:tcW w:w="4297" w:type="dxa"/>
          </w:tcPr>
          <w:p w:rsidR="00D27511" w:rsidRPr="00595A53" w:rsidRDefault="00D27511" w:rsidP="00751BA8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الأسس الجمالية للتصميم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169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أهمية اللون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95</w:t>
            </w:r>
          </w:p>
        </w:tc>
      </w:tr>
      <w:tr w:rsidR="00D27511" w:rsidRPr="00725EE0" w:rsidTr="00751BA8">
        <w:tc>
          <w:tcPr>
            <w:tcW w:w="4297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4169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الألوان ودلالاتها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100</w:t>
            </w:r>
          </w:p>
        </w:tc>
      </w:tr>
      <w:tr w:rsidR="00D27511" w:rsidRPr="00725EE0" w:rsidTr="00751BA8">
        <w:tc>
          <w:tcPr>
            <w:tcW w:w="4297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الإيقاع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4169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الفصل الخامس ( فن الزخرفة )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107</w:t>
            </w:r>
          </w:p>
        </w:tc>
      </w:tr>
      <w:tr w:rsidR="00D27511" w:rsidRPr="00725EE0" w:rsidTr="00751BA8">
        <w:tc>
          <w:tcPr>
            <w:tcW w:w="4297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الاتزان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4169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أولا: مفهوم الزخرفة وتعبيراتها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108</w:t>
            </w:r>
          </w:p>
        </w:tc>
      </w:tr>
      <w:tr w:rsidR="00D27511" w:rsidRPr="00725EE0" w:rsidTr="00751BA8">
        <w:tc>
          <w:tcPr>
            <w:tcW w:w="4297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الحركة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4169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القواعد والأسس المتبعة في الزخرفة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109</w:t>
            </w:r>
          </w:p>
        </w:tc>
      </w:tr>
      <w:tr w:rsidR="00D27511" w:rsidRPr="00725EE0" w:rsidTr="00751BA8">
        <w:tc>
          <w:tcPr>
            <w:tcW w:w="4297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التباين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4169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ثانيا: فن الزخرفة الإسلامية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111</w:t>
            </w:r>
          </w:p>
        </w:tc>
      </w:tr>
      <w:tr w:rsidR="00D27511" w:rsidRPr="00725EE0" w:rsidTr="00751BA8">
        <w:tc>
          <w:tcPr>
            <w:tcW w:w="4297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التناسب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4169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عناصر الزخرفة الإسلامية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113</w:t>
            </w:r>
          </w:p>
        </w:tc>
      </w:tr>
      <w:tr w:rsidR="00D27511" w:rsidRPr="00725EE0" w:rsidTr="00751BA8">
        <w:tc>
          <w:tcPr>
            <w:tcW w:w="4297" w:type="dxa"/>
          </w:tcPr>
          <w:p w:rsidR="00D27511" w:rsidRPr="00595A53" w:rsidRDefault="00D27511" w:rsidP="00751BA8">
            <w:pPr>
              <w:spacing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السيادة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4169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مميزات الفن الزخرفي الإسلامي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118</w:t>
            </w:r>
          </w:p>
        </w:tc>
      </w:tr>
      <w:tr w:rsidR="00D27511" w:rsidRPr="00725EE0" w:rsidTr="00751BA8">
        <w:tc>
          <w:tcPr>
            <w:tcW w:w="4297" w:type="dxa"/>
          </w:tcPr>
          <w:p w:rsidR="00D27511" w:rsidRPr="00595A53" w:rsidRDefault="00D27511" w:rsidP="00751BA8">
            <w:pPr>
              <w:spacing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الفصل الثالث ( الرسوم التوضيحية )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4169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التجريد في الفن الزخرفي الإسلامي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119</w:t>
            </w:r>
          </w:p>
        </w:tc>
      </w:tr>
      <w:tr w:rsidR="00D27511" w:rsidRPr="00725EE0" w:rsidTr="00751BA8">
        <w:tc>
          <w:tcPr>
            <w:tcW w:w="4297" w:type="dxa"/>
          </w:tcPr>
          <w:p w:rsidR="00D27511" w:rsidRPr="00595A53" w:rsidRDefault="00D27511" w:rsidP="00751BA8">
            <w:pPr>
              <w:spacing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مقدمة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4169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رمزية الأشكال المستخدمة في الزخارف الإسلامية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120</w:t>
            </w:r>
          </w:p>
        </w:tc>
      </w:tr>
      <w:tr w:rsidR="00D27511" w:rsidRPr="00725EE0" w:rsidTr="00751BA8">
        <w:tc>
          <w:tcPr>
            <w:tcW w:w="4297" w:type="dxa"/>
          </w:tcPr>
          <w:p w:rsidR="00D27511" w:rsidRPr="00595A53" w:rsidRDefault="00D27511" w:rsidP="00751BA8">
            <w:pPr>
              <w:spacing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الرسوم التوضيحية وأهميتها في العملية التعليمية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4169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العلاقة ما بين الدين الإسلامي والفن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121</w:t>
            </w:r>
          </w:p>
        </w:tc>
      </w:tr>
      <w:tr w:rsidR="00D27511" w:rsidRPr="00725EE0" w:rsidTr="00751BA8">
        <w:tc>
          <w:tcPr>
            <w:tcW w:w="4297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مواصفات الرسوم التوضيحية الجيدة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39</w:t>
            </w:r>
          </w:p>
        </w:tc>
        <w:tc>
          <w:tcPr>
            <w:tcW w:w="4169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تحليل بعض الوحدات الزخرفية الإسلامية</w:t>
            </w:r>
          </w:p>
        </w:tc>
        <w:tc>
          <w:tcPr>
            <w:tcW w:w="1012" w:type="dxa"/>
          </w:tcPr>
          <w:p w:rsidR="00D27511" w:rsidRPr="00725EE0" w:rsidRDefault="00D27511" w:rsidP="00751BA8">
            <w:pPr>
              <w:spacing w:after="0"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124</w:t>
            </w:r>
          </w:p>
        </w:tc>
      </w:tr>
      <w:tr w:rsidR="00D27511" w:rsidRPr="00725EE0" w:rsidTr="00751BA8">
        <w:tc>
          <w:tcPr>
            <w:tcW w:w="4297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مهارات إعداد الرسوم التوضيحية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42</w:t>
            </w:r>
          </w:p>
        </w:tc>
        <w:tc>
          <w:tcPr>
            <w:tcW w:w="4169" w:type="dxa"/>
          </w:tcPr>
          <w:p w:rsidR="00D27511" w:rsidRPr="00157958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57958">
              <w:rPr>
                <w:rFonts w:hint="cs"/>
                <w:b/>
                <w:bCs/>
                <w:sz w:val="24"/>
                <w:szCs w:val="24"/>
                <w:rtl/>
              </w:rPr>
              <w:t>نماذج من الزخرفة الإسلامية</w:t>
            </w:r>
          </w:p>
        </w:tc>
        <w:tc>
          <w:tcPr>
            <w:tcW w:w="1012" w:type="dxa"/>
          </w:tcPr>
          <w:p w:rsidR="00D27511" w:rsidRPr="00725EE0" w:rsidRDefault="00D27511" w:rsidP="00751BA8">
            <w:pPr>
              <w:spacing w:after="0"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130</w:t>
            </w:r>
          </w:p>
        </w:tc>
      </w:tr>
      <w:tr w:rsidR="00D27511" w:rsidRPr="00725EE0" w:rsidTr="00751BA8">
        <w:tc>
          <w:tcPr>
            <w:tcW w:w="4297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مهارة التنوع في الخطوط</w:t>
            </w:r>
          </w:p>
        </w:tc>
        <w:tc>
          <w:tcPr>
            <w:tcW w:w="1012" w:type="dxa"/>
          </w:tcPr>
          <w:p w:rsidR="00D27511" w:rsidRPr="00595A53" w:rsidRDefault="00D27511" w:rsidP="00751BA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5A53">
              <w:rPr>
                <w:rFonts w:hint="cs"/>
                <w:b/>
                <w:bCs/>
                <w:sz w:val="24"/>
                <w:szCs w:val="24"/>
                <w:rtl/>
              </w:rPr>
              <w:t>46</w:t>
            </w:r>
          </w:p>
        </w:tc>
        <w:tc>
          <w:tcPr>
            <w:tcW w:w="4169" w:type="dxa"/>
          </w:tcPr>
          <w:p w:rsidR="00D27511" w:rsidRPr="00725EE0" w:rsidRDefault="00D27511" w:rsidP="00751BA8">
            <w:pPr>
              <w:spacing w:after="0"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2" w:type="dxa"/>
          </w:tcPr>
          <w:p w:rsidR="00D27511" w:rsidRPr="00725EE0" w:rsidRDefault="00D27511" w:rsidP="00751BA8">
            <w:pPr>
              <w:spacing w:after="0"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E44D7C" w:rsidRDefault="00D27511">
      <w:bookmarkStart w:id="0" w:name="_GoBack"/>
      <w:bookmarkEnd w:id="0"/>
    </w:p>
    <w:sectPr w:rsidR="00E44D7C" w:rsidSect="0090372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F58E5"/>
    <w:multiLevelType w:val="hybridMultilevel"/>
    <w:tmpl w:val="FA7AE5E8"/>
    <w:lvl w:ilvl="0" w:tplc="D2326A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511"/>
    <w:rsid w:val="004F708E"/>
    <w:rsid w:val="00903729"/>
    <w:rsid w:val="00D2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511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5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511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ALBOSTAN</dc:creator>
  <cp:lastModifiedBy>ALBOSTAN</cp:lastModifiedBy>
  <cp:revision>1</cp:revision>
  <dcterms:created xsi:type="dcterms:W3CDTF">2018-09-05T07:21:00Z</dcterms:created>
  <dcterms:modified xsi:type="dcterms:W3CDTF">2018-09-05T07:21:00Z</dcterms:modified>
</cp:coreProperties>
</file>